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 w:before="0" w:after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6BC92C2B">
                <wp:simplePos x="0" y="0"/>
                <wp:positionH relativeFrom="column">
                  <wp:posOffset>3404870</wp:posOffset>
                </wp:positionH>
                <wp:positionV relativeFrom="page">
                  <wp:posOffset>806450</wp:posOffset>
                </wp:positionV>
                <wp:extent cx="2101850" cy="151765"/>
                <wp:effectExtent l="0" t="0" r="0" b="0"/>
                <wp:wrapNone/>
                <wp:docPr id="1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32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240" w:before="0" w:after="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 xml:space="preserve">Warsaw, 15 May 2017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fillcolor="white" stroked="f" style="position:absolute;margin-left:268.1pt;margin-top:63.5pt;width:165.4pt;height:11.85pt;mso-position-vertical-relative:page" wp14:anchorId="6BC92C2B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 xml:space="preserve">Warsaw, 15 May 2017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20" w:before="0" w:after="0"/>
        <w:jc w:val="both"/>
        <w:rPr/>
      </w:pPr>
      <w:r>
        <w:rPr/>
      </w:r>
    </w:p>
    <w:p>
      <w:pPr>
        <w:pStyle w:val="Normal"/>
        <w:spacing w:lineRule="exact" w:line="32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Nextbike Polska from LARQ heads for NewConnect</w:t>
      </w:r>
    </w:p>
    <w:p>
      <w:pPr>
        <w:pStyle w:val="Normal"/>
        <w:spacing w:lineRule="exact" w:line="320" w:before="0" w:after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exact" w:line="320" w:before="0" w:after="0"/>
        <w:ind w:left="426" w:hanging="426"/>
        <w:jc w:val="both"/>
        <w:rPr>
          <w:b/>
          <w:b/>
        </w:rPr>
      </w:pPr>
      <w:r>
        <w:rPr>
          <w:b/>
          <w:lang w:val="en-GB"/>
        </w:rPr>
        <w:t xml:space="preserve">The Nextbike Polska AGM passed a resolution on raising capital and applying for the company's listing on the alternative NewConnect market </w:t>
      </w:r>
    </w:p>
    <w:p>
      <w:pPr>
        <w:pStyle w:val="Normal"/>
        <w:numPr>
          <w:ilvl w:val="0"/>
          <w:numId w:val="1"/>
        </w:numPr>
        <w:spacing w:lineRule="exact" w:line="320" w:before="0" w:after="0"/>
        <w:ind w:left="426" w:hanging="426"/>
        <w:jc w:val="both"/>
        <w:rPr>
          <w:b/>
          <w:b/>
        </w:rPr>
      </w:pPr>
      <w:r>
        <w:rPr>
          <w:b/>
          <w:lang w:val="en-GB"/>
        </w:rPr>
        <w:t>The debut is planned for the turn of the second half of 2017</w:t>
      </w:r>
    </w:p>
    <w:p>
      <w:pPr>
        <w:pStyle w:val="Normal"/>
        <w:spacing w:lineRule="exact" w:line="32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Nextbike Polska SA:</w:t>
      </w:r>
      <w:r>
        <w:rPr/>
        <w:t xml:space="preserve"> - </w:t>
      </w:r>
      <w:r>
        <w:rPr>
          <w:lang w:val="en-GB"/>
        </w:rPr>
        <w:t>A leader in providing and servicing self-service bicycle rental in Poland belonging to the LARQ SA stock portfolio</w:t>
      </w:r>
      <w:r>
        <w:rPr/>
        <w:t xml:space="preserve"> - </w:t>
      </w:r>
      <w:r>
        <w:rPr>
          <w:lang w:val="en-GB"/>
        </w:rPr>
        <w:t>has taken formal steps to bring the company into the NewConnect alternative market.</w:t>
      </w:r>
      <w:r>
        <w:rPr/>
        <w:t xml:space="preserve"> </w:t>
      </w:r>
      <w:r>
        <w:rPr>
          <w:lang w:val="en-GB"/>
        </w:rPr>
        <w:t>At the General Meeting of Shareholders on May 15, 2017 a resolution on the increase of the share capital and the introduction of series B and C shares to the alternative trading system of NewConnect was passed.</w:t>
      </w:r>
      <w:r>
        <w:rPr/>
        <w:t xml:space="preserve"> </w:t>
      </w:r>
      <w:r>
        <w:rPr>
          <w:lang w:val="en-GB"/>
        </w:rPr>
        <w:t>The increase in share capital is to take place by the issue of not less than 1 and no more than 51,000 series C bearer shares excluding preemptive rights.</w:t>
      </w:r>
      <w:r>
        <w:rPr/>
        <w:t xml:space="preserve"> </w:t>
      </w:r>
      <w:r>
        <w:rPr>
          <w:lang w:val="en-GB"/>
        </w:rPr>
        <w:t>At the present time (before the planned issue) the share capital of Nextbike Polska amounts to 1,020,000 shares.</w:t>
      </w:r>
      <w:r>
        <w:rPr/>
        <w:t xml:space="preserve"> </w:t>
      </w:r>
      <w:r>
        <w:rPr>
          <w:lang w:val="en-GB"/>
        </w:rPr>
        <w:t>The C series shares will be subscribed through private placement conducted in a manner that does not constitute a public offering.</w:t>
      </w:r>
    </w:p>
    <w:p>
      <w:pPr>
        <w:pStyle w:val="Normal"/>
        <w:spacing w:lineRule="exact" w:line="32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exact" w:line="320" w:before="0" w:after="0"/>
        <w:jc w:val="both"/>
        <w:rPr/>
      </w:pPr>
      <w:r>
        <w:rPr>
          <w:i/>
          <w:lang w:val="en-GB"/>
        </w:rPr>
        <w:t>“</w:t>
      </w:r>
      <w:r>
        <w:rPr>
          <w:i/>
          <w:lang w:val="en-GB"/>
        </w:rPr>
        <w:t>The planned public launch of Nextbike Polska is another milestone in the company's development, confirming its organizational maturity, very good prospects and high potential for further dynamic growth.</w:t>
      </w:r>
      <w:r>
        <w:rPr>
          <w:i/>
        </w:rPr>
        <w:t xml:space="preserve"> </w:t>
      </w:r>
      <w:r>
        <w:rPr>
          <w:i/>
          <w:lang w:val="en-GB"/>
        </w:rPr>
        <w:t>The capital market of course provides access to financial resources but above all enormous ennoblement and confirmation of the highest business standards we pursue in our day-to-day operations.</w:t>
      </w:r>
      <w:r>
        <w:rPr>
          <w:i/>
        </w:rPr>
        <w:t xml:space="preserve"> </w:t>
      </w:r>
      <w:r>
        <w:rPr>
          <w:i/>
          <w:lang w:val="en-GB"/>
        </w:rPr>
        <w:t>According to our estimates, the debut should take place at the turn of the second half of this year,</w:t>
      </w:r>
      <w:r>
        <w:rPr>
          <w:i/>
        </w:rPr>
        <w:t xml:space="preserve"> </w:t>
      </w:r>
      <w:r>
        <w:rPr>
          <w:lang w:val="en-GB"/>
        </w:rPr>
        <w:t>says Tomasz Wojtkiewicz, President of Nextbike Polska SA.</w:t>
      </w:r>
    </w:p>
    <w:p>
      <w:pPr>
        <w:pStyle w:val="Normal"/>
        <w:spacing w:lineRule="exact" w:line="320" w:before="0" w:after="0"/>
        <w:jc w:val="both"/>
        <w:rPr/>
      </w:pPr>
      <w:r>
        <w:rPr/>
      </w:r>
    </w:p>
    <w:p>
      <w:pPr>
        <w:pStyle w:val="Normal"/>
        <w:spacing w:lineRule="exact" w:line="320" w:before="0" w:after="0"/>
        <w:jc w:val="both"/>
        <w:rPr/>
      </w:pPr>
      <w:r>
        <w:rPr>
          <w:i/>
          <w:lang w:val="en-GB"/>
        </w:rPr>
        <w:t>As part of the private offer Nextbike Polska conducted at the end of last year we pledged to investors that we would soon want to take the company public.</w:t>
      </w:r>
      <w:r>
        <w:rPr>
          <w:i/>
        </w:rPr>
        <w:t xml:space="preserve"> </w:t>
      </w:r>
      <w:r>
        <w:rPr>
          <w:i/>
          <w:lang w:val="en-GB"/>
        </w:rPr>
        <w:t>We will keep our promise – we are confident that Nextbike Polska has all the qualities needed to be a listed company – solid financial results, very good growth prospects in an attractive market and ambitious plans for further development.</w:t>
      </w:r>
      <w:r>
        <w:rPr>
          <w:i/>
        </w:rPr>
        <w:t xml:space="preserve"> </w:t>
      </w:r>
      <w:r>
        <w:rPr>
          <w:i/>
          <w:lang w:val="en-GB"/>
        </w:rPr>
        <w:t>Nextbike Polska will be the first but probably not the last LARQ portfolio company to debut on the stock exchange – our intention is to actively support companies in the development of strategic options, including funds raised through an organized public market.</w:t>
      </w:r>
      <w:r>
        <w:rPr>
          <w:i/>
        </w:rPr>
        <w:t xml:space="preserve"> </w:t>
      </w:r>
      <w:r>
        <w:rPr>
          <w:i/>
          <w:lang w:val="en-GB"/>
        </w:rPr>
        <w:t xml:space="preserve">We will take decisions in this regard in </w:t>
      </w:r>
      <w:bookmarkStart w:id="0" w:name="_GoBack"/>
      <w:bookmarkEnd w:id="0"/>
      <w:r>
        <w:rPr>
          <w:i/>
          <w:lang w:val="en-GB"/>
        </w:rPr>
        <w:t xml:space="preserve">the light of the optimal path of growth of individual companies in our portfolio,” </w:t>
      </w:r>
      <w:r>
        <w:rPr>
          <w:lang w:val="en-GB"/>
        </w:rPr>
        <w:t>says Mikołaj Chruszczewski, Member of the Management Board of LARQ SA.</w:t>
      </w:r>
    </w:p>
    <w:p>
      <w:pPr>
        <w:pStyle w:val="Normal"/>
        <w:spacing w:lineRule="exact" w:line="32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exact" w:line="320" w:before="0" w:after="0"/>
        <w:jc w:val="both"/>
        <w:rPr/>
      </w:pPr>
      <w:r>
        <w:rPr/>
        <w:t>-------------------------</w:t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LARQ SA</w:t>
      </w:r>
      <w:r>
        <w:rPr/>
        <w:t xml:space="preserve"> </w:t>
      </w:r>
      <w:r>
        <w:rPr>
          <w:lang w:val="en-GB"/>
        </w:rPr>
        <w:t>(twitter IR:</w:t>
      </w:r>
      <w:r>
        <w:rPr/>
        <w:t xml:space="preserve"> </w:t>
      </w:r>
      <w:hyperlink r:id="rId2">
        <w:r>
          <w:rPr>
            <w:rStyle w:val="Czeinternetowe"/>
          </w:rPr>
          <w:t>@LARQgroup</w:t>
        </w:r>
      </w:hyperlink>
      <w:r>
        <w:rPr>
          <w:lang w:val="en-GB"/>
        </w:rPr>
        <w:t>) Is a Polish holding company listed on the main WSE stock exchange, managing companies operating in the area of ​​innovative media, new technologies and infrastructure.</w:t>
      </w:r>
      <w:r>
        <w:rPr/>
        <w:t xml:space="preserve"> </w:t>
      </w:r>
      <w:r>
        <w:rPr>
          <w:lang w:val="en-GB"/>
        </w:rPr>
        <w:t>The business pillars of the company are dynamically developing entities with a dominant position in their market segments, including:</w:t>
      </w:r>
    </w:p>
    <w:p>
      <w:pPr>
        <w:pStyle w:val="ListParagraph"/>
        <w:numPr>
          <w:ilvl w:val="0"/>
          <w:numId w:val="2"/>
        </w:numPr>
        <w:spacing w:lineRule="exact" w:line="320" w:before="0" w:after="0"/>
        <w:jc w:val="both"/>
        <w:rPr/>
      </w:pPr>
      <w:r>
        <w:rPr>
          <w:lang w:val="en-GB"/>
        </w:rPr>
        <w:t>Nextbike Polska – the largest supplier and operator of urban bicycle systems in Poland.</w:t>
      </w:r>
      <w:r>
        <w:rPr/>
        <w:t xml:space="preserve"> </w:t>
      </w:r>
      <w:r>
        <w:rPr>
          <w:lang w:val="en-GB"/>
        </w:rPr>
        <w:t>At present the company manages a fleet of about 10,800 bicycles and nearly one thousand stations in 22 cities.</w:t>
      </w:r>
    </w:p>
    <w:p>
      <w:pPr>
        <w:pStyle w:val="ListParagraph"/>
        <w:numPr>
          <w:ilvl w:val="0"/>
          <w:numId w:val="2"/>
        </w:numPr>
        <w:spacing w:lineRule="exact" w:line="320" w:before="0" w:after="0"/>
        <w:jc w:val="both"/>
        <w:rPr/>
      </w:pPr>
      <w:r>
        <w:rPr>
          <w:lang w:val="en-GB"/>
        </w:rPr>
        <w:t>Synergic – a leading national operator and owner of non-standard outdoor advertising media.</w:t>
      </w:r>
      <w:r>
        <w:rPr/>
        <w:t xml:space="preserve"> </w:t>
      </w:r>
      <w:r>
        <w:rPr>
          <w:lang w:val="en-GB"/>
        </w:rPr>
        <w:t>The company's clients' advertising is displayed at almost all Polish airports and at key bus and train stations.</w:t>
      </w:r>
      <w:r>
        <w:rPr/>
        <w:t xml:space="preserve"> </w:t>
      </w:r>
      <w:r>
        <w:rPr>
          <w:lang w:val="en-GB"/>
        </w:rPr>
        <w:t>The company is the exclusive operator of advertising space on urban bicycles and in underground passages in the largest Polish cities.</w:t>
      </w:r>
    </w:p>
    <w:p>
      <w:pPr>
        <w:pStyle w:val="ListParagraph"/>
        <w:numPr>
          <w:ilvl w:val="0"/>
          <w:numId w:val="2"/>
        </w:numPr>
        <w:spacing w:lineRule="exact" w:line="320" w:before="0" w:after="0"/>
        <w:jc w:val="both"/>
        <w:rPr/>
      </w:pPr>
      <w:r>
        <w:rPr>
          <w:lang w:val="en-GB"/>
        </w:rPr>
        <w:t>Brand24 – the owner of an online content monitoring tool sold in the SaaS model</w:t>
      </w:r>
      <w:r>
        <w:rPr/>
        <w:t xml:space="preserve"> </w:t>
      </w:r>
      <w:r>
        <w:rPr>
          <w:lang w:val="en-GB"/>
        </w:rPr>
        <w:t>Software as a Service).</w:t>
      </w:r>
      <w:r>
        <w:rPr/>
        <w:t xml:space="preserve"> </w:t>
      </w:r>
      <w:r>
        <w:rPr>
          <w:lang w:val="en-GB"/>
        </w:rPr>
        <w:t>The company holds a dominant position on the Polish market in its product category.</w:t>
      </w:r>
      <w:r>
        <w:rPr/>
        <w:t xml:space="preserve"> </w:t>
      </w:r>
      <w:r>
        <w:rPr>
          <w:lang w:val="en-GB"/>
        </w:rPr>
        <w:t>Brand24 is successfully commercializing its unique solution on the global market.</w:t>
      </w:r>
    </w:p>
    <w:p>
      <w:pPr>
        <w:pStyle w:val="Normal"/>
        <w:spacing w:lineRule="exact" w:line="320" w:before="0" w:after="0"/>
        <w:jc w:val="both"/>
        <w:rPr/>
      </w:pPr>
      <w:r>
        <w:rPr/>
      </w:r>
    </w:p>
    <w:p>
      <w:pPr>
        <w:pStyle w:val="Normal"/>
        <w:spacing w:lineRule="exact" w:line="320" w:before="0" w:after="0"/>
        <w:jc w:val="both"/>
        <w:rPr/>
      </w:pPr>
      <w:r>
        <w:rPr/>
        <w:t>-------------------------</w:t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For further information, please contact:</w:t>
      </w:r>
    </w:p>
    <w:p>
      <w:pPr>
        <w:pStyle w:val="Normal"/>
        <w:spacing w:lineRule="exact" w:line="320" w:before="0" w:after="0"/>
        <w:jc w:val="both"/>
        <w:rPr/>
      </w:pPr>
      <w:r>
        <w:rPr/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Katarzyna Sadowska</w:t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CC Group Sp. Z oo</w:t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Tel:</w:t>
      </w:r>
      <w:r>
        <w:rPr/>
        <w:t xml:space="preserve"> +48 22 440 14 40</w:t>
      </w:r>
    </w:p>
    <w:p>
      <w:pPr>
        <w:pStyle w:val="Normal"/>
        <w:spacing w:lineRule="exact" w:line="320" w:before="0" w:after="0"/>
        <w:jc w:val="both"/>
        <w:rPr/>
      </w:pPr>
      <w:r>
        <w:rPr>
          <w:lang w:val="en-GB"/>
        </w:rPr>
        <w:t>Mobile:</w:t>
      </w:r>
      <w:r>
        <w:rPr/>
        <w:t xml:space="preserve">  +48 697 613 020</w:t>
      </w:r>
    </w:p>
    <w:sectPr>
      <w:headerReference w:type="default" r:id="rId3"/>
      <w:footerReference w:type="default" r:id="rId4"/>
      <w:type w:val="nextPage"/>
      <w:pgSz w:w="11906" w:h="16838"/>
      <w:pgMar w:left="1985" w:right="1247" w:header="709" w:top="1247" w:footer="1077" w:bottom="198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72" w:leader="none"/>
      </w:tabs>
      <w:spacing w:before="0" w:after="200"/>
      <w:rPr/>
    </w:pPr>
    <w:r>
      <w:rPr/>
      <w:drawing>
        <wp:anchor behindDoc="1" distT="0" distB="8255" distL="114300" distR="114300" simplePos="0" locked="0" layoutInCell="1" allowOverlap="1" relativeHeight="5">
          <wp:simplePos x="0" y="0"/>
          <wp:positionH relativeFrom="column">
            <wp:posOffset>-1261110</wp:posOffset>
          </wp:positionH>
          <wp:positionV relativeFrom="paragraph">
            <wp:posOffset>-29210</wp:posOffset>
          </wp:positionV>
          <wp:extent cx="7551420" cy="1020445"/>
          <wp:effectExtent l="0" t="0" r="0" b="0"/>
          <wp:wrapNone/>
          <wp:docPr id="4" name="Obraz 20" descr="PAPIER_wymiarowanie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0" descr="PAPIER_wymiarowanie-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spacing w:before="0" w:after="200"/>
      <w:rPr/>
    </w:pPr>
    <w:r>
      <w:rPr/>
      <w:drawing>
        <wp:anchor behindDoc="1" distT="0" distB="0" distL="114300" distR="123190" simplePos="0" locked="0" layoutInCell="1" allowOverlap="1" relativeHeight="3">
          <wp:simplePos x="0" y="0"/>
          <wp:positionH relativeFrom="column">
            <wp:posOffset>-1242695</wp:posOffset>
          </wp:positionH>
          <wp:positionV relativeFrom="paragraph">
            <wp:posOffset>-438150</wp:posOffset>
          </wp:positionV>
          <wp:extent cx="1266825" cy="800100"/>
          <wp:effectExtent l="0" t="0" r="0" b="0"/>
          <wp:wrapNone/>
          <wp:docPr id="3" name="Obraz 17" descr="PAPIER_wymiarowanie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7" descr="PAPIER_wymiarowanie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9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06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ba0768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qFormat/>
    <w:rsid w:val="001671b9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/>
    <w:rsid w:val="001671b9"/>
    <w:rPr>
      <w:sz w:val="22"/>
      <w:szCs w:val="22"/>
      <w:lang w:eastAsia="en-US"/>
    </w:rPr>
  </w:style>
  <w:style w:type="character" w:styleId="Czeinternetowe">
    <w:name w:val="Łącze internetowe"/>
    <w:uiPriority w:val="99"/>
    <w:unhideWhenUsed/>
    <w:rsid w:val="001671b9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684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7684c"/>
    <w:rPr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7684c"/>
    <w:rPr>
      <w:b/>
      <w:bCs/>
      <w:lang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851be6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851be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11fd6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bd637d"/>
    <w:pPr>
      <w:widowControl/>
      <w:bidi w:val="0"/>
      <w:ind w:left="2552" w:right="2552" w:hanging="0"/>
      <w:jc w:val="left"/>
    </w:pPr>
    <w:rPr>
      <w:rFonts w:ascii="Calibri" w:hAnsi="Calibri" w:eastAsia="Calibri" w:cs="Times New Roman"/>
      <w:b/>
      <w:color w:val="auto"/>
      <w:sz w:val="24"/>
      <w:szCs w:val="22"/>
      <w:lang w:eastAsia="en-US" w:val="pl-P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07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HeaderChar"/>
    <w:uiPriority w:val="99"/>
    <w:unhideWhenUsed/>
    <w:rsid w:val="001671b9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unhideWhenUsed/>
    <w:rsid w:val="001671b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7684c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7684c"/>
    <w:pPr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851be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167e9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witter.com/LARQgroup?ref_src=twsrc^tfw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5CB0-B197-42F7-A90F-6CABDCB1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LARQ_papier firmowy_szablon</Template>
  <TotalTime>2</TotalTime>
  <Application>LibreOffice/5.2.2.2$Linux_X86_64 LibreOffice_project/20m0$Build-2</Application>
  <Pages>2</Pages>
  <Words>615</Words>
  <Characters>3217</Characters>
  <CharactersWithSpaces>3820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2017-06-01T12:39:32Z</dcterms:created>
  <dc:creator/>
  <dc:description/>
  <dc:language>pl-PL</dc:language>
  <cp:lastModifiedBy/>
  <dcterms:modified xsi:type="dcterms:W3CDTF">2017-06-01T12:39:36Z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